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47FB" w:rsidRPr="007347FB" w:rsidRDefault="00000000" w:rsidP="007347FB">
      <w:pPr>
        <w:spacing w:line="560" w:lineRule="exact"/>
        <w:jc w:val="center"/>
        <w:rPr>
          <w:rFonts w:ascii="方正小标宋简体" w:eastAsia="方正小标宋简体" w:hAnsi="方正小标宋简体" w:cs="方正小标宋简体"/>
          <w:bCs/>
          <w:color w:val="000000"/>
          <w:szCs w:val="32"/>
        </w:rPr>
      </w:pPr>
      <w:r>
        <w:rPr>
          <w:rFonts w:ascii="仿宋" w:eastAsia="仿宋" w:hAnsi="仿宋" w:cs="仿宋" w:hint="eastAsia"/>
          <w:sz w:val="28"/>
          <w:szCs w:val="28"/>
        </w:rPr>
        <w:t>附件：</w:t>
      </w:r>
      <w:r w:rsidR="007347FB" w:rsidRPr="007347FB">
        <w:rPr>
          <w:rFonts w:ascii="方正小标宋简体" w:eastAsia="方正小标宋简体" w:hAnsi="方正小标宋简体" w:cs="方正小标宋简体" w:hint="eastAsia"/>
          <w:bCs/>
          <w:color w:val="000000"/>
          <w:szCs w:val="32"/>
        </w:rPr>
        <w:t>广东环境保护工程职业学院2023年广州校区校园改造项目</w:t>
      </w:r>
    </w:p>
    <w:p w:rsidR="000F6D4F" w:rsidRPr="005941D7" w:rsidRDefault="007347FB" w:rsidP="005941D7">
      <w:pPr>
        <w:spacing w:line="560" w:lineRule="exact"/>
        <w:jc w:val="center"/>
        <w:rPr>
          <w:rFonts w:ascii="方正小标宋简体" w:eastAsia="方正小标宋简体" w:hAnsi="方正小标宋简体" w:cs="方正小标宋简体" w:hint="eastAsia"/>
          <w:bCs/>
          <w:color w:val="000000"/>
          <w:szCs w:val="32"/>
        </w:rPr>
      </w:pPr>
      <w:bookmarkStart w:id="0" w:name="_Hlk132702165"/>
      <w:r w:rsidRPr="007347FB">
        <w:rPr>
          <w:rFonts w:ascii="方正小标宋简体" w:eastAsia="方正小标宋简体" w:hAnsi="方正小标宋简体" w:cs="方正小标宋简体" w:hint="eastAsia"/>
          <w:bCs/>
          <w:color w:val="000000"/>
          <w:szCs w:val="32"/>
        </w:rPr>
        <w:t>工程监理服务项目</w:t>
      </w:r>
      <w:bookmarkEnd w:id="0"/>
      <w:r w:rsidR="00000000">
        <w:rPr>
          <w:rFonts w:ascii="方正小标宋简体" w:eastAsia="方正小标宋简体" w:hAnsi="方正小标宋简体" w:cs="方正小标宋简体" w:hint="eastAsia"/>
          <w:bCs/>
          <w:color w:val="000000"/>
          <w:szCs w:val="32"/>
        </w:rPr>
        <w:t>需求书</w:t>
      </w:r>
    </w:p>
    <w:p w:rsidR="000F6D4F" w:rsidRDefault="00000000">
      <w:pPr>
        <w:numPr>
          <w:ilvl w:val="0"/>
          <w:numId w:val="1"/>
        </w:numPr>
        <w:spacing w:line="360" w:lineRule="auto"/>
        <w:jc w:val="left"/>
        <w:rPr>
          <w:rFonts w:ascii="黑体" w:eastAsia="黑体" w:hAnsi="黑体" w:cs="黑体"/>
          <w:bCs/>
          <w:color w:val="000000"/>
          <w:szCs w:val="32"/>
        </w:rPr>
      </w:pPr>
      <w:r>
        <w:rPr>
          <w:rFonts w:ascii="黑体" w:eastAsia="黑体" w:hAnsi="黑体" w:cs="黑体" w:hint="eastAsia"/>
          <w:bCs/>
          <w:color w:val="000000"/>
          <w:szCs w:val="32"/>
        </w:rPr>
        <w:t>项目概况及基本要求</w:t>
      </w:r>
    </w:p>
    <w:p w:rsidR="000F6D4F" w:rsidRPr="005941D7" w:rsidRDefault="00000000" w:rsidP="005941D7">
      <w:pPr>
        <w:pStyle w:val="a8"/>
        <w:widowControl/>
        <w:numPr>
          <w:ilvl w:val="1"/>
          <w:numId w:val="1"/>
        </w:numPr>
        <w:tabs>
          <w:tab w:val="left" w:pos="0"/>
        </w:tabs>
        <w:spacing w:line="360" w:lineRule="auto"/>
        <w:ind w:firstLineChars="0"/>
        <w:jc w:val="left"/>
        <w:rPr>
          <w:rFonts w:ascii="仿宋" w:eastAsia="仿宋" w:hAnsi="仿宋" w:cs="仿宋"/>
          <w:sz w:val="28"/>
          <w:szCs w:val="28"/>
        </w:rPr>
      </w:pPr>
      <w:r w:rsidRPr="005941D7">
        <w:rPr>
          <w:rFonts w:ascii="仿宋" w:eastAsia="仿宋" w:hAnsi="仿宋" w:cs="仿宋" w:hint="eastAsia"/>
          <w:sz w:val="28"/>
          <w:szCs w:val="28"/>
        </w:rPr>
        <w:t>项目名称：</w:t>
      </w:r>
      <w:bookmarkStart w:id="1" w:name="_Hlk137566603"/>
      <w:r w:rsidR="005941D7" w:rsidRPr="005941D7">
        <w:rPr>
          <w:rFonts w:ascii="仿宋" w:eastAsia="仿宋" w:hAnsi="仿宋" w:cs="仿宋" w:hint="eastAsia"/>
          <w:sz w:val="28"/>
          <w:szCs w:val="28"/>
        </w:rPr>
        <w:t>广东环境保护工程职业学院2023年广州校区校园改造项目工程监理服务项目</w:t>
      </w:r>
      <w:bookmarkEnd w:id="1"/>
    </w:p>
    <w:p w:rsidR="000F6D4F" w:rsidRDefault="005941D7" w:rsidP="005941D7">
      <w:pPr>
        <w:pStyle w:val="a0"/>
        <w:ind w:firstLineChars="200" w:firstLine="560"/>
        <w:rPr>
          <w:rFonts w:ascii="仿宋" w:eastAsia="仿宋" w:hAnsi="仿宋" w:cs="仿宋"/>
          <w:sz w:val="28"/>
          <w:szCs w:val="28"/>
        </w:rPr>
      </w:pPr>
      <w:r w:rsidRPr="005941D7">
        <w:rPr>
          <w:rFonts w:ascii="仿宋" w:eastAsia="仿宋" w:hAnsi="仿宋" w:cs="仿宋" w:hint="eastAsia"/>
          <w:sz w:val="28"/>
          <w:szCs w:val="28"/>
        </w:rPr>
        <w:t>广东环境保护工程职业学院2023年广州校区校园改造项目工程监理服务项目</w:t>
      </w:r>
      <w:r w:rsidR="00000000">
        <w:rPr>
          <w:rFonts w:ascii="仿宋" w:eastAsia="仿宋" w:hAnsi="仿宋" w:cs="仿宋" w:hint="eastAsia"/>
          <w:sz w:val="28"/>
          <w:szCs w:val="28"/>
        </w:rPr>
        <w:t>具体包含5个子项内容：1、男生宿舍楼（面积2048平方米，7层）室内外翻新装修改造；2、女生宿舍楼（面积971平方米，4层）室内外翻新装修改造；3、综合楼（女生宿舍附楼）（面积324平方米，3层）外墙翻新，内部局部修缮；4、食堂、宿舍综合楼（2799.08平方米，8层）宿舍部分局部翻新装修改造；5、学校门卫室（25平方米，单层）翻新装修改造。具体改造内容详见设计施工图纸及工程量清单，总造价以项目概算书为依据。主要服务范围为校园改造项目提供工程监理服务，按照《建设工程监理规范》（GB/T 50319-2013）以及工程监理服务相关的管理制度的要求，做好工程项目的现场监理工作，确保工程项目的顺利开展和竣工验收。</w:t>
      </w:r>
    </w:p>
    <w:p w:rsidR="000F6D4F" w:rsidRDefault="00000000">
      <w:pPr>
        <w:widowControl/>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2.监理时间：具体以工程项目的竣工验收时间为准。 </w:t>
      </w:r>
    </w:p>
    <w:p w:rsidR="000F6D4F" w:rsidRDefault="00000000">
      <w:pPr>
        <w:widowControl/>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3.建设单位：广东环境保护工程职业学院</w:t>
      </w:r>
    </w:p>
    <w:p w:rsidR="000F6D4F" w:rsidRDefault="00000000">
      <w:pPr>
        <w:widowControl/>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.项目地点：广东环境保护工程职业技术学院广州天河校区（广州市天河区员村西街5号大院）</w:t>
      </w:r>
    </w:p>
    <w:p w:rsidR="000F6D4F" w:rsidRDefault="00000000">
      <w:pPr>
        <w:widowControl/>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lastRenderedPageBreak/>
        <w:t>5</w:t>
      </w:r>
      <w:r>
        <w:rPr>
          <w:rFonts w:ascii="仿宋" w:eastAsia="仿宋" w:hAnsi="仿宋" w:cs="仿宋" w:hint="eastAsia"/>
          <w:sz w:val="28"/>
          <w:szCs w:val="28"/>
        </w:rPr>
        <w:t xml:space="preserve">.采购内容： </w:t>
      </w:r>
    </w:p>
    <w:p w:rsidR="000F6D4F" w:rsidRDefault="00000000">
      <w:pPr>
        <w:widowControl/>
        <w:spacing w:line="360" w:lineRule="auto"/>
        <w:ind w:leftChars="200" w:left="640"/>
        <w:jc w:val="left"/>
        <w:rPr>
          <w:rFonts w:ascii="仿宋" w:eastAsia="仿宋" w:hAnsi="仿宋" w:cs="仿宋"/>
          <w:sz w:val="28"/>
          <w:szCs w:val="28"/>
        </w:rPr>
      </w:pPr>
      <w:r>
        <w:rPr>
          <w:rFonts w:ascii="仿宋" w:eastAsia="仿宋" w:hAnsi="仿宋" w:cs="仿宋" w:hint="eastAsia"/>
          <w:sz w:val="28"/>
          <w:szCs w:val="28"/>
        </w:rPr>
        <w:t>（1）主要服务范围为校园改造项目提供工程监理服务，按相关的法律法规要求做好工程项目的现场监理工作；</w:t>
      </w:r>
    </w:p>
    <w:p w:rsidR="000F6D4F" w:rsidRDefault="00000000">
      <w:pPr>
        <w:widowControl/>
        <w:spacing w:line="360" w:lineRule="auto"/>
        <w:ind w:leftChars="200" w:left="640"/>
        <w:jc w:val="left"/>
        <w:rPr>
          <w:rFonts w:ascii="仿宋" w:eastAsia="仿宋" w:hAnsi="仿宋" w:cs="仿宋"/>
          <w:sz w:val="28"/>
          <w:szCs w:val="28"/>
        </w:rPr>
      </w:pPr>
      <w:r>
        <w:rPr>
          <w:rFonts w:ascii="仿宋" w:eastAsia="仿宋" w:hAnsi="仿宋" w:cs="仿宋" w:hint="eastAsia"/>
          <w:sz w:val="28"/>
          <w:szCs w:val="28"/>
        </w:rPr>
        <w:t>（2）负责监管工程项目的安全生产、质量、进度和投资成本控制及相关协调工作；</w:t>
      </w:r>
    </w:p>
    <w:p w:rsidR="000F6D4F" w:rsidRDefault="00000000">
      <w:pPr>
        <w:widowControl/>
        <w:spacing w:line="360" w:lineRule="auto"/>
        <w:ind w:leftChars="200" w:left="640"/>
        <w:jc w:val="left"/>
        <w:rPr>
          <w:rFonts w:ascii="仿宋" w:eastAsia="仿宋" w:hAnsi="仿宋" w:cs="仿宋"/>
          <w:sz w:val="28"/>
          <w:szCs w:val="28"/>
        </w:rPr>
      </w:pPr>
      <w:r>
        <w:rPr>
          <w:rFonts w:ascii="仿宋" w:eastAsia="仿宋" w:hAnsi="仿宋" w:cs="仿宋" w:hint="eastAsia"/>
          <w:sz w:val="28"/>
          <w:szCs w:val="28"/>
        </w:rPr>
        <w:t>（3）按照国家现行的规范要求和标准，对施工流程、施工质量进行严格把关，进行各项工程节点验收工作，负责装修材料的验收和检查；</w:t>
      </w:r>
    </w:p>
    <w:p w:rsidR="000F6D4F" w:rsidRDefault="00000000">
      <w:pPr>
        <w:widowControl/>
        <w:spacing w:line="360" w:lineRule="auto"/>
        <w:ind w:leftChars="200" w:left="640"/>
        <w:jc w:val="left"/>
        <w:rPr>
          <w:rFonts w:ascii="仿宋" w:eastAsia="仿宋" w:hAnsi="仿宋" w:cs="仿宋"/>
          <w:sz w:val="28"/>
          <w:szCs w:val="28"/>
        </w:rPr>
      </w:pPr>
      <w:r>
        <w:rPr>
          <w:rFonts w:ascii="仿宋" w:eastAsia="仿宋" w:hAnsi="仿宋" w:cs="仿宋" w:hint="eastAsia"/>
          <w:sz w:val="28"/>
          <w:szCs w:val="28"/>
        </w:rPr>
        <w:t>（4）配合好业主的日常管理工作，确保工程项目的顺利竣工验收；</w:t>
      </w:r>
    </w:p>
    <w:p w:rsidR="000F6D4F" w:rsidRDefault="00000000">
      <w:pPr>
        <w:pStyle w:val="a8"/>
        <w:widowControl/>
        <w:numPr>
          <w:ilvl w:val="0"/>
          <w:numId w:val="2"/>
        </w:numPr>
        <w:spacing w:line="360" w:lineRule="auto"/>
        <w:ind w:firstLineChars="0"/>
        <w:jc w:val="left"/>
        <w:rPr>
          <w:rFonts w:ascii="仿宋" w:eastAsia="仿宋" w:hAnsi="仿宋" w:cs="仿宋"/>
          <w:sz w:val="28"/>
          <w:szCs w:val="28"/>
        </w:rPr>
      </w:pPr>
      <w:r>
        <w:rPr>
          <w:rFonts w:ascii="仿宋" w:eastAsia="仿宋" w:hAnsi="仿宋" w:cs="仿宋" w:hint="eastAsia"/>
          <w:sz w:val="28"/>
          <w:szCs w:val="28"/>
        </w:rPr>
        <w:t>监理规范中与该项目相关的工程监理服务内容。</w:t>
      </w:r>
    </w:p>
    <w:p w:rsidR="000F6D4F" w:rsidRDefault="00000000">
      <w:pPr>
        <w:pStyle w:val="a8"/>
        <w:widowControl/>
        <w:tabs>
          <w:tab w:val="left" w:pos="0"/>
        </w:tabs>
        <w:spacing w:line="360" w:lineRule="auto"/>
        <w:ind w:left="280" w:firstLineChars="100" w:firstLine="280"/>
        <w:jc w:val="left"/>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.项目服务费用：</w:t>
      </w:r>
    </w:p>
    <w:p w:rsidR="000F6D4F" w:rsidRDefault="00000000">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本项目最高限价4.9万元，采用固定包干总价；本项目不提供食宿场地，需由中标人自行解决。</w:t>
      </w:r>
      <w:bookmarkStart w:id="2" w:name="_Toc262637522"/>
    </w:p>
    <w:bookmarkEnd w:id="2"/>
    <w:p w:rsidR="000F6D4F" w:rsidRDefault="00000000">
      <w:pPr>
        <w:numPr>
          <w:ilvl w:val="0"/>
          <w:numId w:val="1"/>
        </w:numPr>
        <w:spacing w:line="360" w:lineRule="auto"/>
        <w:jc w:val="left"/>
        <w:rPr>
          <w:rFonts w:ascii="黑体" w:eastAsia="黑体" w:hAnsi="黑体" w:cs="黑体"/>
          <w:bCs/>
          <w:color w:val="000000"/>
          <w:szCs w:val="32"/>
        </w:rPr>
      </w:pPr>
      <w:r>
        <w:rPr>
          <w:rFonts w:ascii="黑体" w:eastAsia="黑体" w:hAnsi="黑体" w:cs="黑体" w:hint="eastAsia"/>
          <w:bCs/>
          <w:color w:val="000000"/>
          <w:szCs w:val="32"/>
        </w:rPr>
        <w:t>服务期限</w:t>
      </w:r>
    </w:p>
    <w:p w:rsidR="000F6D4F" w:rsidRDefault="00000000">
      <w:pPr>
        <w:widowControl/>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服务时间：具体以工程项目的竣工验收时间为准。 </w:t>
      </w:r>
    </w:p>
    <w:p w:rsidR="000F6D4F" w:rsidRDefault="00000000">
      <w:pPr>
        <w:numPr>
          <w:ilvl w:val="0"/>
          <w:numId w:val="1"/>
        </w:numPr>
        <w:spacing w:line="360" w:lineRule="auto"/>
        <w:jc w:val="left"/>
        <w:rPr>
          <w:rFonts w:ascii="黑体" w:eastAsia="黑体" w:hAnsi="黑体" w:cs="黑体"/>
          <w:bCs/>
          <w:color w:val="000000"/>
          <w:szCs w:val="32"/>
        </w:rPr>
      </w:pPr>
      <w:r>
        <w:rPr>
          <w:rFonts w:ascii="黑体" w:eastAsia="黑体" w:hAnsi="黑体" w:cs="黑体" w:hint="eastAsia"/>
          <w:bCs/>
          <w:color w:val="000000"/>
          <w:szCs w:val="32"/>
        </w:rPr>
        <w:t>付款方式</w:t>
      </w:r>
    </w:p>
    <w:p w:rsidR="000F6D4F" w:rsidRDefault="00000000">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本项目无预付款，工程项目竣工验收合格后，一次性结清合同价款100%。</w:t>
      </w:r>
    </w:p>
    <w:p w:rsidR="000F6D4F" w:rsidRDefault="00000000">
      <w:pPr>
        <w:numPr>
          <w:ilvl w:val="0"/>
          <w:numId w:val="1"/>
        </w:numPr>
        <w:spacing w:line="360" w:lineRule="auto"/>
        <w:jc w:val="left"/>
        <w:rPr>
          <w:rFonts w:ascii="黑体" w:eastAsia="黑体" w:hAnsi="黑体" w:cs="黑体"/>
          <w:bCs/>
          <w:color w:val="000000"/>
          <w:szCs w:val="32"/>
        </w:rPr>
      </w:pPr>
      <w:r>
        <w:rPr>
          <w:rFonts w:ascii="黑体" w:eastAsia="黑体" w:hAnsi="黑体" w:cs="黑体" w:hint="eastAsia"/>
          <w:bCs/>
          <w:color w:val="000000"/>
          <w:szCs w:val="32"/>
        </w:rPr>
        <w:t>供应商资格要求</w:t>
      </w:r>
    </w:p>
    <w:p w:rsidR="000F6D4F" w:rsidRDefault="00000000">
      <w:pPr>
        <w:widowControl/>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lastRenderedPageBreak/>
        <w:t>1</w:t>
      </w:r>
      <w:r>
        <w:rPr>
          <w:rFonts w:ascii="仿宋" w:eastAsia="仿宋" w:hAnsi="仿宋" w:cs="仿宋" w:hint="eastAsia"/>
          <w:sz w:val="28"/>
          <w:szCs w:val="28"/>
        </w:rPr>
        <w:t>.供应商必须符合《中华人民共和国政府采购法》第二十二条规定的条件；</w:t>
      </w:r>
    </w:p>
    <w:p w:rsidR="000F6D4F" w:rsidRDefault="00000000">
      <w:pPr>
        <w:widowControl/>
        <w:tabs>
          <w:tab w:val="left" w:pos="42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2.供应商须是国内合法注册的企业,具有法人资格，能独立承担民事责任，具有有效的营业执照；</w:t>
      </w:r>
    </w:p>
    <w:p w:rsidR="000F6D4F" w:rsidRDefault="00000000">
      <w:pPr>
        <w:widowControl/>
        <w:tabs>
          <w:tab w:val="left" w:pos="42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hint="eastAsia"/>
        </w:rPr>
        <w:t xml:space="preserve"> </w:t>
      </w:r>
      <w:r>
        <w:rPr>
          <w:rFonts w:ascii="仿宋" w:eastAsia="仿宋" w:hAnsi="仿宋" w:cs="仿宋" w:hint="eastAsia"/>
          <w:sz w:val="28"/>
          <w:szCs w:val="28"/>
        </w:rPr>
        <w:t>供应商必须具备有效的房屋建筑工程专业监理乙级及以上资质或工程监理综合资质；</w:t>
      </w:r>
    </w:p>
    <w:p w:rsidR="000F6D4F" w:rsidRDefault="00000000">
      <w:pPr>
        <w:widowControl/>
        <w:tabs>
          <w:tab w:val="left" w:pos="420"/>
        </w:tabs>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w:t>
      </w:r>
      <w:r>
        <w:rPr>
          <w:rFonts w:hint="eastAsia"/>
        </w:rPr>
        <w:t xml:space="preserve"> </w:t>
      </w:r>
      <w:r>
        <w:rPr>
          <w:rFonts w:ascii="仿宋" w:eastAsia="仿宋" w:hAnsi="仿宋" w:cs="仿宋" w:hint="eastAsia"/>
          <w:sz w:val="28"/>
          <w:szCs w:val="28"/>
        </w:rPr>
        <w:t>供应商拟派项目总监须具备国家注册监理工程师执业资格；</w:t>
      </w:r>
    </w:p>
    <w:p w:rsidR="000F6D4F" w:rsidRDefault="00000000">
      <w:pPr>
        <w:widowControl/>
        <w:tabs>
          <w:tab w:val="left" w:pos="420"/>
        </w:tabs>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w:t>
      </w:r>
      <w:r>
        <w:rPr>
          <w:rFonts w:ascii="仿宋" w:eastAsia="仿宋" w:hAnsi="仿宋" w:cs="仿宋"/>
          <w:sz w:val="28"/>
          <w:szCs w:val="28"/>
        </w:rPr>
        <w:t xml:space="preserve"> </w:t>
      </w:r>
      <w:r>
        <w:rPr>
          <w:rFonts w:ascii="仿宋" w:eastAsia="仿宋" w:hAnsi="仿宋" w:cs="仿宋" w:hint="eastAsia"/>
          <w:sz w:val="28"/>
          <w:szCs w:val="28"/>
        </w:rPr>
        <w:t>本项目不接受联合体参加投标；</w:t>
      </w:r>
    </w:p>
    <w:p w:rsidR="000F6D4F" w:rsidRDefault="00000000">
      <w:pPr>
        <w:widowControl/>
        <w:tabs>
          <w:tab w:val="left" w:pos="420"/>
        </w:tabs>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6</w:t>
      </w:r>
      <w:r>
        <w:rPr>
          <w:rFonts w:ascii="仿宋" w:eastAsia="仿宋" w:hAnsi="仿宋" w:cs="仿宋" w:hint="eastAsia"/>
          <w:sz w:val="28"/>
          <w:szCs w:val="28"/>
        </w:rPr>
        <w:t>.</w:t>
      </w:r>
      <w:r>
        <w:rPr>
          <w:rFonts w:ascii="仿宋" w:eastAsia="仿宋" w:hAnsi="仿宋" w:cs="仿宋"/>
          <w:sz w:val="28"/>
          <w:szCs w:val="28"/>
        </w:rPr>
        <w:t xml:space="preserve"> </w:t>
      </w:r>
      <w:r>
        <w:rPr>
          <w:rFonts w:ascii="仿宋" w:eastAsia="仿宋" w:hAnsi="仿宋" w:cs="仿宋" w:hint="eastAsia"/>
          <w:sz w:val="28"/>
          <w:szCs w:val="28"/>
        </w:rPr>
        <w:t>供应商在近三年内参与政府采购活动中无违法违纪行为。</w:t>
      </w:r>
    </w:p>
    <w:p w:rsidR="000F6D4F" w:rsidRDefault="00000000">
      <w:pPr>
        <w:numPr>
          <w:ilvl w:val="0"/>
          <w:numId w:val="1"/>
        </w:numPr>
        <w:spacing w:line="360" w:lineRule="auto"/>
        <w:jc w:val="left"/>
        <w:rPr>
          <w:rFonts w:ascii="黑体" w:eastAsia="黑体" w:hAnsi="黑体" w:cs="黑体"/>
          <w:bCs/>
          <w:color w:val="000000"/>
          <w:szCs w:val="32"/>
        </w:rPr>
      </w:pPr>
      <w:r>
        <w:rPr>
          <w:rFonts w:ascii="黑体" w:eastAsia="黑体" w:hAnsi="黑体" w:cs="黑体" w:hint="eastAsia"/>
          <w:bCs/>
          <w:color w:val="000000"/>
          <w:szCs w:val="32"/>
        </w:rPr>
        <w:t>投标文件（密封）投递时间及地点</w:t>
      </w:r>
      <w:r>
        <w:rPr>
          <w:rFonts w:ascii="Calibri" w:eastAsia="黑体" w:hAnsi="Calibri" w:cs="Calibri"/>
          <w:bCs/>
          <w:color w:val="000000"/>
          <w:szCs w:val="32"/>
        </w:rPr>
        <w:t> </w:t>
      </w:r>
      <w:r>
        <w:rPr>
          <w:rFonts w:ascii="黑体" w:eastAsia="黑体" w:hAnsi="黑体" w:cs="黑体" w:hint="eastAsia"/>
          <w:bCs/>
          <w:color w:val="000000"/>
          <w:szCs w:val="32"/>
        </w:rPr>
        <w:t xml:space="preserve"> </w:t>
      </w:r>
    </w:p>
    <w:p w:rsidR="000F6D4F" w:rsidRDefault="00000000">
      <w:pPr>
        <w:widowControl/>
        <w:tabs>
          <w:tab w:val="left" w:pos="42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时间：202</w:t>
      </w:r>
      <w:r>
        <w:rPr>
          <w:rFonts w:ascii="仿宋" w:eastAsia="仿宋" w:hAnsi="仿宋" w:cs="仿宋"/>
          <w:sz w:val="28"/>
          <w:szCs w:val="28"/>
        </w:rPr>
        <w:t>3</w:t>
      </w:r>
      <w:r>
        <w:rPr>
          <w:rFonts w:ascii="仿宋" w:eastAsia="仿宋" w:hAnsi="仿宋" w:cs="仿宋" w:hint="eastAsia"/>
          <w:sz w:val="28"/>
          <w:szCs w:val="28"/>
        </w:rPr>
        <w:t>年</w:t>
      </w:r>
      <w:r>
        <w:rPr>
          <w:rFonts w:ascii="仿宋" w:eastAsia="仿宋" w:hAnsi="仿宋" w:cs="仿宋"/>
          <w:sz w:val="28"/>
          <w:szCs w:val="28"/>
        </w:rPr>
        <w:t>6</w:t>
      </w:r>
      <w:r>
        <w:rPr>
          <w:rFonts w:ascii="仿宋" w:eastAsia="仿宋" w:hAnsi="仿宋" w:cs="仿宋" w:hint="eastAsia"/>
          <w:sz w:val="28"/>
          <w:szCs w:val="28"/>
        </w:rPr>
        <w:t>月</w:t>
      </w:r>
      <w:r>
        <w:rPr>
          <w:rFonts w:ascii="仿宋" w:eastAsia="仿宋" w:hAnsi="仿宋" w:cs="仿宋"/>
          <w:sz w:val="28"/>
          <w:szCs w:val="28"/>
        </w:rPr>
        <w:t>16</w:t>
      </w:r>
      <w:r>
        <w:rPr>
          <w:rFonts w:ascii="仿宋" w:eastAsia="仿宋" w:hAnsi="仿宋" w:cs="仿宋" w:hint="eastAsia"/>
          <w:sz w:val="28"/>
          <w:szCs w:val="28"/>
        </w:rPr>
        <w:t>日18时截止（以收件时间为准）；</w:t>
      </w:r>
      <w:r>
        <w:rPr>
          <w:rFonts w:ascii="Calibri" w:eastAsia="仿宋" w:hAnsi="Calibri" w:cs="Calibri"/>
          <w:sz w:val="28"/>
          <w:szCs w:val="28"/>
        </w:rPr>
        <w:t> </w:t>
      </w:r>
      <w:r>
        <w:rPr>
          <w:rFonts w:ascii="仿宋" w:eastAsia="仿宋" w:hAnsi="仿宋" w:cs="仿宋" w:hint="eastAsia"/>
          <w:sz w:val="28"/>
          <w:szCs w:val="28"/>
        </w:rPr>
        <w:t xml:space="preserve"> </w:t>
      </w:r>
    </w:p>
    <w:p w:rsidR="000F6D4F" w:rsidRDefault="00000000">
      <w:pPr>
        <w:widowControl/>
        <w:tabs>
          <w:tab w:val="left" w:pos="42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地点：佛山南海桂丹西路98号广东环境保护工程职业学院</w:t>
      </w:r>
    </w:p>
    <w:p w:rsidR="000F6D4F" w:rsidRDefault="00000000">
      <w:pPr>
        <w:widowControl/>
        <w:tabs>
          <w:tab w:val="left" w:pos="42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收件人：吴老师  1</w:t>
      </w:r>
      <w:r>
        <w:rPr>
          <w:rFonts w:ascii="仿宋" w:eastAsia="仿宋" w:hAnsi="仿宋" w:cs="仿宋"/>
          <w:sz w:val="28"/>
          <w:szCs w:val="28"/>
        </w:rPr>
        <w:t>3925135299</w:t>
      </w:r>
    </w:p>
    <w:sectPr w:rsidR="000F6D4F">
      <w:headerReference w:type="default" r:id="rId8"/>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3264" w:rsidRDefault="00063264">
      <w:r>
        <w:separator/>
      </w:r>
    </w:p>
  </w:endnote>
  <w:endnote w:type="continuationSeparator" w:id="0">
    <w:p w:rsidR="00063264" w:rsidRDefault="0006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D4F" w:rsidRDefault="00000000">
    <w:pPr>
      <w:pStyle w:val="a4"/>
      <w:ind w:right="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0F6D4F" w:rsidRDefault="00000000">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- 13 -</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rsidR="000F6D4F" w:rsidRDefault="00000000">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- 13 -</w:t>
                    </w:r>
                    <w:r>
                      <w:rPr>
                        <w:rFonts w:ascii="宋体" w:eastAsia="宋体" w:hAnsi="宋体" w:cs="宋体" w:hint="eastAsia"/>
                        <w:sz w:val="28"/>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6D4F" w:rsidRDefault="000F6D4F">
                          <w:pPr>
                            <w:snapToGrid w:val="0"/>
                            <w:rPr>
                              <w:sz w:val="30"/>
                              <w:szCs w:val="30"/>
                            </w:rPr>
                          </w:pPr>
                        </w:p>
                      </w:txbxContent>
                    </wps:txbx>
                    <wps:bodyPr wrap="none" lIns="0" tIns="0" rIns="0" bIns="0">
                      <a:spAutoFit/>
                    </wps:bodyPr>
                  </wps:wsp>
                </a:graphicData>
              </a:graphic>
            </wp:anchor>
          </w:drawing>
        </mc:Choice>
        <mc:Fallback>
          <w:pict>
            <v:shape id="文本框 4"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rsidR="000F6D4F" w:rsidRDefault="000F6D4F">
                    <w:pPr>
                      <w:snapToGrid w:val="0"/>
                      <w:rPr>
                        <w:sz w:val="30"/>
                        <w:szCs w:val="3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3264" w:rsidRDefault="00063264">
      <w:r>
        <w:separator/>
      </w:r>
    </w:p>
  </w:footnote>
  <w:footnote w:type="continuationSeparator" w:id="0">
    <w:p w:rsidR="00063264" w:rsidRDefault="0006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D4F" w:rsidRDefault="000F6D4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chineseCountingThousand"/>
      <w:lvlText w:val="%1、"/>
      <w:lvlJc w:val="left"/>
      <w:pPr>
        <w:tabs>
          <w:tab w:val="left" w:pos="420"/>
        </w:tabs>
        <w:ind w:left="420" w:hanging="420"/>
      </w:pPr>
      <w:rPr>
        <w:lang w:val="en-US"/>
      </w:rPr>
    </w:lvl>
    <w:lvl w:ilvl="1">
      <w:start w:val="1"/>
      <w:numFmt w:val="decimal"/>
      <w:lvlText w:val="%2."/>
      <w:lvlJc w:val="left"/>
      <w:pPr>
        <w:tabs>
          <w:tab w:val="left" w:pos="780"/>
        </w:tabs>
        <w:ind w:left="780" w:hanging="360"/>
      </w:pPr>
    </w:lvl>
    <w:lvl w:ilvl="2">
      <w:start w:val="1"/>
      <w:numFmt w:val="decimal"/>
      <w:lvlText w:val="1.%3 "/>
      <w:lvlJc w:val="left"/>
      <w:pPr>
        <w:tabs>
          <w:tab w:val="left" w:pos="1200"/>
        </w:tabs>
        <w:ind w:left="1200" w:hanging="360"/>
      </w:pPr>
    </w:lvl>
    <w:lvl w:ilvl="3">
      <w:start w:val="1"/>
      <w:numFmt w:val="decimal"/>
      <w:lvlText w:val="2.%4 "/>
      <w:lvlJc w:val="left"/>
      <w:pPr>
        <w:tabs>
          <w:tab w:val="left" w:pos="1620"/>
        </w:tabs>
        <w:ind w:left="1620" w:hanging="360"/>
      </w:pPr>
    </w:lvl>
    <w:lvl w:ilvl="4">
      <w:start w:val="1"/>
      <w:numFmt w:val="decimal"/>
      <w:lvlText w:val="%5、"/>
      <w:lvlJc w:val="left"/>
      <w:pPr>
        <w:tabs>
          <w:tab w:val="left" w:pos="2720"/>
        </w:tabs>
        <w:ind w:left="2720" w:hanging="735"/>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36A6A49"/>
    <w:multiLevelType w:val="multilevel"/>
    <w:tmpl w:val="436A6A49"/>
    <w:lvl w:ilvl="0">
      <w:start w:val="5"/>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915211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32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JlYTY0ZGM3M2EyYmNhYmYxYmEyNGE3MWY0NWI4NTgifQ=="/>
  </w:docVars>
  <w:rsids>
    <w:rsidRoot w:val="0D7B6BFD"/>
    <w:rsid w:val="00063264"/>
    <w:rsid w:val="000F6D4F"/>
    <w:rsid w:val="0013254D"/>
    <w:rsid w:val="00165A3F"/>
    <w:rsid w:val="00256226"/>
    <w:rsid w:val="0027066D"/>
    <w:rsid w:val="002D6B48"/>
    <w:rsid w:val="002E3AB0"/>
    <w:rsid w:val="002F700B"/>
    <w:rsid w:val="003432E7"/>
    <w:rsid w:val="003A10B8"/>
    <w:rsid w:val="003D2B36"/>
    <w:rsid w:val="00440E50"/>
    <w:rsid w:val="00473061"/>
    <w:rsid w:val="004D57D5"/>
    <w:rsid w:val="0053754C"/>
    <w:rsid w:val="005941D7"/>
    <w:rsid w:val="00640413"/>
    <w:rsid w:val="0066467B"/>
    <w:rsid w:val="006E18F8"/>
    <w:rsid w:val="006F29B3"/>
    <w:rsid w:val="007347FB"/>
    <w:rsid w:val="00753AF1"/>
    <w:rsid w:val="00785852"/>
    <w:rsid w:val="007B67E6"/>
    <w:rsid w:val="007F5CB0"/>
    <w:rsid w:val="00847772"/>
    <w:rsid w:val="008B06B7"/>
    <w:rsid w:val="00943ACA"/>
    <w:rsid w:val="00955164"/>
    <w:rsid w:val="00982743"/>
    <w:rsid w:val="009D5D69"/>
    <w:rsid w:val="00A24961"/>
    <w:rsid w:val="00AF0C07"/>
    <w:rsid w:val="00B47D5B"/>
    <w:rsid w:val="00B637D1"/>
    <w:rsid w:val="00BA5113"/>
    <w:rsid w:val="00C22294"/>
    <w:rsid w:val="00C862C0"/>
    <w:rsid w:val="00CC0747"/>
    <w:rsid w:val="00CE33A0"/>
    <w:rsid w:val="00CF1F54"/>
    <w:rsid w:val="00D15936"/>
    <w:rsid w:val="00D215F7"/>
    <w:rsid w:val="00D3033B"/>
    <w:rsid w:val="00DD4CD3"/>
    <w:rsid w:val="00DF7D84"/>
    <w:rsid w:val="00F720C1"/>
    <w:rsid w:val="00F8252B"/>
    <w:rsid w:val="00FE31C1"/>
    <w:rsid w:val="01282CAB"/>
    <w:rsid w:val="082C3238"/>
    <w:rsid w:val="0D7B6BFD"/>
    <w:rsid w:val="0E6F1E38"/>
    <w:rsid w:val="1D8A7201"/>
    <w:rsid w:val="2EBC6D54"/>
    <w:rsid w:val="36CA4DE1"/>
    <w:rsid w:val="3A7C7325"/>
    <w:rsid w:val="3EB02CBF"/>
    <w:rsid w:val="43122640"/>
    <w:rsid w:val="4BB803E6"/>
    <w:rsid w:val="511401F4"/>
    <w:rsid w:val="51BB6499"/>
    <w:rsid w:val="570F1328"/>
    <w:rsid w:val="6AD2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451AF"/>
  <w15:docId w15:val="{FCCD4A7E-355B-4FA3-8E30-17690CC3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line="260" w:lineRule="atLeast"/>
      <w:jc w:val="left"/>
    </w:pPr>
    <w:rPr>
      <w:kern w:val="0"/>
      <w:sz w:val="24"/>
    </w:rPr>
  </w:style>
  <w:style w:type="character" w:styleId="a7">
    <w:name w:val="Strong"/>
    <w:basedOn w:val="a1"/>
    <w:qFormat/>
    <w:rPr>
      <w:b/>
    </w:rPr>
  </w:style>
  <w:style w:type="paragraph" w:customStyle="1" w:styleId="Style3">
    <w:name w:val="_Style 3"/>
    <w:qFormat/>
    <w:pPr>
      <w:widowControl w:val="0"/>
      <w:jc w:val="both"/>
    </w:pPr>
    <w:rPr>
      <w:rFonts w:eastAsia="等线"/>
      <w:kern w:val="2"/>
      <w:sz w:val="21"/>
      <w:szCs w:val="22"/>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173</Words>
  <Characters>992</Characters>
  <Application>Microsoft Office Word</Application>
  <DocSecurity>0</DocSecurity>
  <Lines>8</Lines>
  <Paragraphs>2</Paragraphs>
  <ScaleCrop>false</ScaleCrop>
  <Company>其他省直机关单位</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WPS_252644294</dc:creator>
  <cp:lastModifiedBy>郑 女士</cp:lastModifiedBy>
  <cp:revision>33</cp:revision>
  <cp:lastPrinted>2023-06-13T08:04:00Z</cp:lastPrinted>
  <dcterms:created xsi:type="dcterms:W3CDTF">2023-02-21T09:55:00Z</dcterms:created>
  <dcterms:modified xsi:type="dcterms:W3CDTF">2023-06-13T08:37:00Z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85066C8F5A3D4CFBBAFBDEA6FEF78EA1</vt:lpwstr>
  </property>
</Properties>
</file>